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Meta"/>
        <w:keepLines w:val="0"/>
      </w:pPr>
      <w:r>
        <w:t>12  /  Nūntius et vocābula  /  20 Octōbris 2026  /  Cum macrōnibus</w:t>
      </w:r>
    </w:p>
    <w:p>
      <w:pPr>
        <w:pStyle w:val="Title"/>
        <w:keepLines w:val="0"/>
      </w:pPr>
      <w:r>
        <w:t>Anne Carson praemiō Nobeliānō honōrātur</w:t>
      </w:r>
    </w:p>
    <w:p>
      <w:pPr>
        <w:pStyle w:val="Deck"/>
        <w:keepLines w:val="0"/>
      </w:pPr>
      <w:r>
        <w:t>Poētria Canadēnsis veterēs fābulās cum novīs scrībendī fōrmīs coniungit.</w:t>
      </w:r>
    </w:p>
    <w:p>
      <w:pPr>
        <w:keepLines w:val="0"/>
      </w:pPr>
      <w:r>
        <w:t>Acadēmia Suecica diē 8 Octōbris Holmiae nūntiāvit praemium Nobeliānum litterārum annī 2026 Anne Carson darī. Haec scrīptrīx Canadēnsis carmina, commentātiōnēs et interpretātiōnēs composuit. Acadēmia in iūdiciō suō studium antīquitātis et variās scrībendī ratiōnēs commemorāvit. Ita studium antīquitātis in mediō nūntiō dē litterīs hodiernīs appāruit.</w:t>
      </w:r>
    </w:p>
    <w:p>
      <w:pPr>
        <w:keepLines w:val="0"/>
      </w:pPr>
      <w:r>
        <w:t>Carson litterās Graecās et Rōmānās diū docuit atque opera poētārum Graecōrum in Anglicum vertit. In librīs eius carmina, solūta ōrātiō et dialogī saepe miscentur. Quī ūnum tantum scrībendī genus exspectat, aliās fōrmās invenīre potest. Inter librōs nōtissimōs est Autobiography of Red, quī annō 1998 ēditus est.</w:t>
      </w:r>
    </w:p>
    <w:p>
      <w:pPr>
        <w:keepLines w:val="0"/>
      </w:pPr>
      <w:r>
        <w:t>Scrīptrīx etiam fābulās antīquās cum persōnīs recentiōribus coniūnxit. In opere Norma Jeane Baker of Troy rēs Helenae Troiānae et Marilyn Monroe inter sē compōnuntur. Hic liber annō 2019 ēditus est. Exemplum ostendit quōmodo auctor māteriam antīquam ad novum opus adhibeat, dum fōrmās scrībendī līberē mūtat.</w:t>
      </w:r>
    </w:p>
    <w:p>
      <w:pPr>
        <w:keepLines w:val="0"/>
      </w:pPr>
      <w:r>
        <w:t>Mark Carney, prīmus minister Canadēnsis, eōdem diē scrīptrīcī grātulātus est. Dīxit Carson veterēs fābulās novīs lēctōribus aperuisse. Laudāvit quoque ingenium eius et studium litterārum. Praemium ad ūniversam scrīptrīcis operam pertinet; lēctōrēs autem per singulōs librōs cognōscere possunt quōmodo poētria simul interpres et novārum fōrmārum inventrīx sit.</w:t>
      </w:r>
    </w:p>
    <w:p>
      <w:pPr>
        <w:pStyle w:val="Heading2"/>
        <w:keepLines w:val="0"/>
      </w:pPr>
      <w:r>
        <w:t>Vocābula explicāta</w:t>
      </w:r>
    </w:p>
    <w:p>
      <w:pPr>
        <w:spacing w:line="20" w:lineRule="exact" w:before="0" w:after="0"/>
        <w:sectPr>
          <w:headerReference w:type="default" r:id="rId9"/>
          <w:footerReference w:type="default" r:id="rId10"/>
          <w:pgSz w:w="12240" w:h="15840"/>
          <w:pgMar w:top="1037" w:right="893" w:bottom="792" w:left="893" w:header="360" w:footer="346" w:gutter="0"/>
          <w:cols w:space="300" w:num="1"/>
          <w:docGrid w:linePitch="360"/>
        </w:sectPr>
      </w:pPr>
    </w:p>
    <w:p>
      <w:pPr>
        <w:pStyle w:val="Gloss"/>
        <w:keepLines/>
      </w:pPr>
      <w:r>
        <w:rPr>
          <w:b/>
        </w:rPr>
        <w:t xml:space="preserve">praemium Nobeliānum litterārum  </w:t>
      </w:r>
      <w:r>
        <w:t>Honor clārus quī scrīptōrī propter opera litterāria datur.</w:t>
      </w:r>
    </w:p>
    <w:p>
      <w:pPr>
        <w:pStyle w:val="Gloss"/>
        <w:keepLines/>
      </w:pPr>
      <w:r>
        <w:rPr>
          <w:b/>
        </w:rPr>
        <w:t xml:space="preserve">Holmia  </w:t>
      </w:r>
      <w:r>
        <w:t>Caput Sueciae, quod vulgō Stockholm appellātur.</w:t>
      </w:r>
    </w:p>
    <w:p>
      <w:pPr>
        <w:pStyle w:val="Gloss"/>
        <w:keepLines/>
      </w:pPr>
      <w:r>
        <w:rPr>
          <w:b/>
        </w:rPr>
        <w:t xml:space="preserve">interpres, -etis  </w:t>
      </w:r>
      <w:r>
        <w:t>Hīc: homō quī scrīpta ex ūnā linguā in aliam vertit.</w:t>
      </w:r>
    </w:p>
    <w:p>
      <w:pPr>
        <w:pStyle w:val="Gloss"/>
        <w:keepLines/>
      </w:pPr>
      <w:r>
        <w:rPr>
          <w:b/>
        </w:rPr>
        <w:t xml:space="preserve">solūta ōrātiō  </w:t>
      </w:r>
      <w:r>
        <w:t>Ōrātiō quae versibus nōn continētur.</w:t>
      </w:r>
    </w:p>
    <w:p>
      <w:pPr>
        <w:keepLines w:val="0"/>
        <w:spacing w:line="20" w:lineRule="exact" w:after="0"/>
      </w:pPr>
      <w:r>
        <w:br w:type="column"/>
      </w:r>
    </w:p>
    <w:p>
      <w:pPr>
        <w:pStyle w:val="Gloss"/>
        <w:keepLines/>
      </w:pPr>
      <w:r>
        <w:rPr>
          <w:b/>
        </w:rPr>
        <w:t xml:space="preserve">genus, generis  </w:t>
      </w:r>
      <w:r>
        <w:t>Hīc: fōrma vel ratiō scrībendī.</w:t>
      </w:r>
    </w:p>
    <w:p>
      <w:pPr>
        <w:pStyle w:val="Gloss"/>
        <w:keepLines/>
      </w:pPr>
      <w:r>
        <w:rPr>
          <w:b/>
        </w:rPr>
        <w:t xml:space="preserve">opus, operis  </w:t>
      </w:r>
      <w:r>
        <w:t>Hīc: liber vel aliud quod scrīptor composuit.</w:t>
      </w:r>
    </w:p>
    <w:p>
      <w:pPr>
        <w:pStyle w:val="Gloss"/>
        <w:keepLines/>
      </w:pPr>
      <w:r>
        <w:rPr>
          <w:b/>
        </w:rPr>
        <w:t xml:space="preserve">dialogus, -ī  </w:t>
      </w:r>
      <w:r>
        <w:t>Sermō in quō duo vel plūrēs inter sē loquuntur.</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12  /  Quaestiōnēs  /  20 Octōbris 2026  /  Cum macrōnibus</w:t>
      </w:r>
    </w:p>
    <w:p>
      <w:pPr>
        <w:pStyle w:val="Title"/>
        <w:keepLines w:val="0"/>
      </w:pPr>
      <w:r>
        <w:t>Anne Carson praemiō Nobeliānō honōrātur</w:t>
      </w:r>
    </w:p>
    <w:p>
      <w:pPr>
        <w:pStyle w:val="Meta"/>
        <w:keepLines w:val="0"/>
      </w:pPr>
      <w:r>
        <w:t>Nōmen __________________________  Classis __________  Diēs __________</w:t>
      </w:r>
    </w:p>
    <w:p>
      <w:pPr>
        <w:pStyle w:val="Note"/>
        <w:keepLines w:val="0"/>
      </w:pPr>
      <w:r>
        <w:t>Ad quamque quaestiōnem ūnum ex quattuor respōnsīs ēlige. Litteram respōnsī rēctī circumscrībe.</w:t>
      </w:r>
    </w:p>
    <w:p>
      <w:pPr>
        <w:spacing w:line="20" w:lineRule="exact" w:before="0" w:after="0"/>
        <w:sectPr>
          <w:pgSz w:w="12240" w:h="15840"/>
          <w:pgMar w:top="1037" w:right="893" w:bottom="792" w:left="893" w:header="360" w:footer="346" w:gutter="0"/>
          <w:cols w:space="300" w:num="1"/>
          <w:docGrid w:linePitch="360"/>
        </w:sectPr>
      </w:pPr>
    </w:p>
    <w:p>
      <w:pPr>
        <w:pStyle w:val="Heading2"/>
        <w:keepLines w:val="0"/>
      </w:pPr>
      <w:r>
        <w:t>Quaestiōnēs facilēs</w:t>
      </w:r>
    </w:p>
    <w:p>
      <w:pPr>
        <w:pStyle w:val="Question"/>
        <w:keepNext/>
        <w:keepLines/>
      </w:pPr>
      <w:r>
        <w:t>01  Quis, secundum nūntium, praemiō Nobeliānō litterārum honōrātur?</w:t>
      </w:r>
    </w:p>
    <w:p>
      <w:pPr>
        <w:pStyle w:val="Choice"/>
        <w:keepNext/>
        <w:keepLines/>
        <w:ind w:left="187" w:hanging="187"/>
      </w:pPr>
      <w:r>
        <w:t>A.  Anne Carson.</w:t>
      </w:r>
    </w:p>
    <w:p>
      <w:pPr>
        <w:pStyle w:val="Choice"/>
        <w:keepNext/>
        <w:keepLines/>
        <w:ind w:left="187" w:hanging="187"/>
      </w:pPr>
      <w:r>
        <w:t>B.  Mark Carney.</w:t>
      </w:r>
    </w:p>
    <w:p>
      <w:pPr>
        <w:pStyle w:val="Choice"/>
        <w:keepNext/>
        <w:keepLines/>
        <w:ind w:left="187" w:hanging="187"/>
      </w:pPr>
      <w:r>
        <w:t>C.  Helena Troiāna.</w:t>
      </w:r>
    </w:p>
    <w:p>
      <w:pPr>
        <w:pStyle w:val="Choice"/>
        <w:keepNext w:val="0"/>
        <w:keepLines/>
        <w:ind w:left="187" w:hanging="187"/>
      </w:pPr>
      <w:r>
        <w:t>D.  Marilyn Monroe.</w:t>
      </w:r>
    </w:p>
    <w:p>
      <w:pPr>
        <w:pStyle w:val="Question"/>
        <w:keepNext/>
        <w:keepLines/>
      </w:pPr>
      <w:r>
        <w:t>02  Ubī praemium nūntiātum est?</w:t>
      </w:r>
    </w:p>
    <w:p>
      <w:pPr>
        <w:pStyle w:val="Choice"/>
        <w:keepNext/>
        <w:keepLines/>
        <w:ind w:left="187" w:hanging="187"/>
      </w:pPr>
      <w:r>
        <w:t>A.  Londīniī.</w:t>
      </w:r>
    </w:p>
    <w:p>
      <w:pPr>
        <w:pStyle w:val="Choice"/>
        <w:keepNext/>
        <w:keepLines/>
        <w:ind w:left="187" w:hanging="187"/>
      </w:pPr>
      <w:r>
        <w:t>B.  Holmiae.</w:t>
      </w:r>
    </w:p>
    <w:p>
      <w:pPr>
        <w:pStyle w:val="Choice"/>
        <w:keepNext/>
        <w:keepLines/>
        <w:ind w:left="187" w:hanging="187"/>
      </w:pPr>
      <w:r>
        <w:t>C.  Rōmae.</w:t>
      </w:r>
    </w:p>
    <w:p>
      <w:pPr>
        <w:pStyle w:val="Choice"/>
        <w:keepNext w:val="0"/>
        <w:keepLines/>
        <w:ind w:left="187" w:hanging="187"/>
      </w:pPr>
      <w:r>
        <w:t>D.  Troiae.</w:t>
      </w:r>
    </w:p>
    <w:p>
      <w:pPr>
        <w:pStyle w:val="Question"/>
        <w:keepNext/>
        <w:keepLines/>
      </w:pPr>
      <w:r>
        <w:t>03  Quās litterās Carson diū docuit?</w:t>
      </w:r>
    </w:p>
    <w:p>
      <w:pPr>
        <w:pStyle w:val="Choice"/>
        <w:keepNext/>
        <w:keepLines/>
        <w:ind w:left="187" w:hanging="187"/>
      </w:pPr>
      <w:r>
        <w:t>A.  Tantum Suecicās.</w:t>
      </w:r>
    </w:p>
    <w:p>
      <w:pPr>
        <w:pStyle w:val="Choice"/>
        <w:keepNext/>
        <w:keepLines/>
        <w:ind w:left="187" w:hanging="187"/>
      </w:pPr>
      <w:r>
        <w:t>B.  Tantum hodiernās.</w:t>
      </w:r>
    </w:p>
    <w:p>
      <w:pPr>
        <w:pStyle w:val="Choice"/>
        <w:keepNext/>
        <w:keepLines/>
        <w:ind w:left="187" w:hanging="187"/>
      </w:pPr>
      <w:r>
        <w:t>C.  Graecās et Rōmānās.</w:t>
      </w:r>
    </w:p>
    <w:p>
      <w:pPr>
        <w:pStyle w:val="Choice"/>
        <w:keepNext w:val="0"/>
        <w:keepLines/>
        <w:ind w:left="187" w:hanging="187"/>
      </w:pPr>
      <w:r>
        <w:t>D.  Graecās et Aegyptiās.</w:t>
      </w:r>
    </w:p>
    <w:p>
      <w:pPr>
        <w:pStyle w:val="Question"/>
        <w:keepNext/>
        <w:keepLines/>
      </w:pPr>
      <w:r>
        <w:t>04  In quam linguam opera poētārum Graecōrum vertit?</w:t>
      </w:r>
    </w:p>
    <w:p>
      <w:pPr>
        <w:pStyle w:val="Choice"/>
        <w:keepNext/>
        <w:keepLines/>
        <w:ind w:left="187" w:hanging="187"/>
      </w:pPr>
      <w:r>
        <w:t>A.  In Latīnam.</w:t>
      </w:r>
    </w:p>
    <w:p>
      <w:pPr>
        <w:pStyle w:val="Choice"/>
        <w:keepNext/>
        <w:keepLines/>
        <w:ind w:left="187" w:hanging="187"/>
      </w:pPr>
      <w:r>
        <w:t>B.  In Suecicam.</w:t>
      </w:r>
    </w:p>
    <w:p>
      <w:pPr>
        <w:pStyle w:val="Choice"/>
        <w:keepNext/>
        <w:keepLines/>
        <w:ind w:left="187" w:hanging="187"/>
      </w:pPr>
      <w:r>
        <w:t>C.  In Graecam recentiōrem.</w:t>
      </w:r>
    </w:p>
    <w:p>
      <w:pPr>
        <w:pStyle w:val="Choice"/>
        <w:keepNext w:val="0"/>
        <w:keepLines/>
        <w:ind w:left="187" w:hanging="187"/>
      </w:pPr>
      <w:r>
        <w:t>D.  In Anglicam.</w:t>
      </w:r>
    </w:p>
    <w:p>
      <w:pPr>
        <w:pStyle w:val="Question"/>
        <w:keepNext/>
        <w:keepLines/>
      </w:pPr>
      <w:r>
        <w:t>05  Quis eōdem diē scrīptrīcī grātulātus est?</w:t>
      </w:r>
    </w:p>
    <w:p>
      <w:pPr>
        <w:pStyle w:val="Choice"/>
        <w:keepNext/>
        <w:keepLines/>
        <w:ind w:left="187" w:hanging="187"/>
      </w:pPr>
      <w:r>
        <w:t>A.  Rēctor bibliothēcae Suecicae.</w:t>
      </w:r>
    </w:p>
    <w:p>
      <w:pPr>
        <w:pStyle w:val="Choice"/>
        <w:keepNext/>
        <w:keepLines/>
        <w:ind w:left="187" w:hanging="187"/>
      </w:pPr>
      <w:r>
        <w:t>B.  Prīmus minister Canadēnsis.</w:t>
      </w:r>
    </w:p>
    <w:p>
      <w:pPr>
        <w:pStyle w:val="Choice"/>
        <w:keepNext/>
        <w:keepLines/>
        <w:ind w:left="187" w:hanging="187"/>
      </w:pPr>
      <w:r>
        <w:t>C.  Poēta Graecus in nūntiō nōminātus.</w:t>
      </w:r>
    </w:p>
    <w:p>
      <w:pPr>
        <w:pStyle w:val="Choice"/>
        <w:keepNext w:val="0"/>
        <w:keepLines/>
        <w:ind w:left="187" w:hanging="187"/>
      </w:pPr>
      <w:r>
        <w:t>D.  Auctor librī dē Helenā.</w:t>
      </w:r>
    </w:p>
    <w:p>
      <w:pPr>
        <w:pStyle w:val="Heading2"/>
        <w:keepLines w:val="0"/>
      </w:pPr>
      <w:r>
        <w:t>Quaestiōnēs mediōcrēs</w:t>
      </w:r>
    </w:p>
    <w:p>
      <w:pPr>
        <w:pStyle w:val="Question"/>
        <w:keepNext/>
        <w:keepLines/>
      </w:pPr>
      <w:r>
        <w:t>06  Cūr lēctor ūnum scrībendī genus exspectāns mīrārī potest?</w:t>
      </w:r>
    </w:p>
    <w:p>
      <w:pPr>
        <w:pStyle w:val="Choice"/>
        <w:keepNext/>
        <w:keepLines/>
        <w:ind w:left="187" w:hanging="187"/>
      </w:pPr>
      <w:r>
        <w:t>A.  Quia librī omnēs eōdem annō ēditī sunt.</w:t>
      </w:r>
    </w:p>
    <w:p>
      <w:pPr>
        <w:pStyle w:val="Choice"/>
        <w:keepNext/>
        <w:keepLines/>
        <w:ind w:left="187" w:hanging="187"/>
      </w:pPr>
      <w:r>
        <w:t>B.  Quia scrīptrīx tantum interpretātiōnēs composuit.</w:t>
      </w:r>
    </w:p>
    <w:p>
      <w:pPr>
        <w:pStyle w:val="Choice"/>
        <w:keepNext/>
        <w:keepLines/>
        <w:ind w:left="187" w:hanging="187"/>
      </w:pPr>
      <w:r>
        <w:t>C.  Quia carmina, solūta ōrātiō et dialogī miscentur.</w:t>
      </w:r>
    </w:p>
    <w:p>
      <w:pPr>
        <w:pStyle w:val="Choice"/>
        <w:keepNext w:val="0"/>
        <w:keepLines/>
        <w:ind w:left="187" w:hanging="187"/>
      </w:pPr>
      <w:r>
        <w:t>D.  Quia librī nūllās persōnās antīquās continent.</w:t>
      </w:r>
    </w:p>
    <w:p>
      <w:pPr>
        <w:pStyle w:val="Question"/>
        <w:keepNext/>
        <w:keepLines/>
      </w:pPr>
      <w:r>
        <w:t>07  Quid Acadēmia in iūdiciō suō commemorāvit?</w:t>
      </w:r>
    </w:p>
    <w:p>
      <w:pPr>
        <w:pStyle w:val="Choice"/>
        <w:keepNext/>
        <w:keepLines/>
        <w:ind w:left="187" w:hanging="187"/>
      </w:pPr>
      <w:r>
        <w:t>A.  Studium antīquitātis et variās scrībendī ratiōnēs.</w:t>
      </w:r>
    </w:p>
    <w:p>
      <w:pPr>
        <w:pStyle w:val="Choice"/>
        <w:keepNext/>
        <w:keepLines/>
        <w:ind w:left="187" w:hanging="187"/>
      </w:pPr>
      <w:r>
        <w:t>B.  Tantum numerum librōrum annō 2019 ēditōrum.</w:t>
      </w:r>
    </w:p>
    <w:p>
      <w:pPr>
        <w:pStyle w:val="Choice"/>
        <w:keepNext/>
        <w:keepLines/>
        <w:ind w:left="187" w:hanging="187"/>
      </w:pPr>
      <w:r>
        <w:t>C.  Tantum doctrīnam rērum nātūrālium.</w:t>
      </w:r>
    </w:p>
    <w:p>
      <w:pPr>
        <w:pStyle w:val="Choice"/>
        <w:keepNext w:val="0"/>
        <w:keepLines/>
        <w:ind w:left="187" w:hanging="187"/>
      </w:pPr>
      <w:r>
        <w:t>D.  Studium commerciī et lēgēs Canadēnsēs.</w:t>
      </w:r>
    </w:p>
    <w:p>
      <w:pPr>
        <w:pStyle w:val="Question"/>
        <w:keepNext/>
        <w:keepLines/>
      </w:pPr>
      <w:r>
        <w:t>08  Quae persōnae in exemplō operis annī 2019 compōnuntur?</w:t>
      </w:r>
    </w:p>
    <w:p>
      <w:pPr>
        <w:pStyle w:val="Choice"/>
        <w:keepNext/>
        <w:keepLines/>
        <w:ind w:left="187" w:hanging="187"/>
      </w:pPr>
      <w:r>
        <w:t>A.  Anne Carson et Mark Carney.</w:t>
      </w:r>
    </w:p>
    <w:p>
      <w:pPr>
        <w:pStyle w:val="Choice"/>
        <w:keepNext/>
        <w:keepLines/>
        <w:ind w:left="187" w:hanging="187"/>
      </w:pPr>
      <w:r>
        <w:t>B.  Helena Troiāna et Anne Carson.</w:t>
      </w:r>
    </w:p>
    <w:p>
      <w:pPr>
        <w:pStyle w:val="Choice"/>
        <w:keepNext/>
        <w:keepLines/>
        <w:ind w:left="187" w:hanging="187"/>
      </w:pPr>
      <w:r>
        <w:t>C.  Marilyn Monroe et Mark Carney.</w:t>
      </w:r>
    </w:p>
    <w:p>
      <w:pPr>
        <w:pStyle w:val="Choice"/>
        <w:keepNext w:val="0"/>
        <w:keepLines/>
        <w:ind w:left="187" w:hanging="187"/>
      </w:pPr>
      <w:r>
        <w:t>D.  Helena Troiāna et Marilyn Monroe.</w:t>
      </w:r>
    </w:p>
    <w:p>
      <w:pPr>
        <w:pStyle w:val="Question"/>
        <w:keepNext/>
        <w:keepLines/>
      </w:pPr>
      <w:r>
        <w:t>09  Ad quid praemium pertinet, secundum ultimam partem nūntiī?</w:t>
      </w:r>
    </w:p>
    <w:p>
      <w:pPr>
        <w:pStyle w:val="Choice"/>
        <w:keepNext/>
        <w:keepLines/>
        <w:ind w:left="187" w:hanging="187"/>
      </w:pPr>
      <w:r>
        <w:t>A.  Ad ūnum tantum dialogum.</w:t>
      </w:r>
    </w:p>
    <w:p>
      <w:pPr>
        <w:pStyle w:val="Choice"/>
        <w:keepNext/>
        <w:keepLines/>
        <w:ind w:left="187" w:hanging="187"/>
      </w:pPr>
      <w:r>
        <w:t>B.  Ad librum annī 2019 tantum.</w:t>
      </w:r>
    </w:p>
    <w:p>
      <w:pPr>
        <w:pStyle w:val="Choice"/>
        <w:keepNext/>
        <w:keepLines/>
        <w:ind w:left="187" w:hanging="187"/>
      </w:pPr>
      <w:r>
        <w:t>C.  Ad ūniversam scrīptrīcis operam.</w:t>
      </w:r>
    </w:p>
    <w:p>
      <w:pPr>
        <w:pStyle w:val="Choice"/>
        <w:keepNext w:val="0"/>
        <w:keepLines/>
        <w:ind w:left="187" w:hanging="187"/>
      </w:pPr>
      <w:r>
        <w:t>D.  Ad prīmam interpretātiōnem tantum.</w:t>
      </w:r>
    </w:p>
    <w:p>
      <w:pPr>
        <w:pStyle w:val="Question"/>
        <w:keepNext/>
        <w:keepLines/>
      </w:pPr>
      <w:r>
        <w:t>10  Quid hōc locō interpres facit?</w:t>
      </w:r>
    </w:p>
    <w:p>
      <w:pPr>
        <w:pStyle w:val="Choice"/>
        <w:keepNext/>
        <w:keepLines/>
        <w:ind w:left="187" w:hanging="187"/>
      </w:pPr>
      <w:r>
        <w:t>A.  Cantum sine verbīs compōnit.</w:t>
      </w:r>
    </w:p>
    <w:p>
      <w:pPr>
        <w:pStyle w:val="Choice"/>
        <w:keepNext/>
        <w:keepLines/>
        <w:ind w:left="187" w:hanging="187"/>
      </w:pPr>
      <w:r>
        <w:t>B.  Scrīpta ex ūnā linguā in aliam vertit.</w:t>
      </w:r>
    </w:p>
    <w:p>
      <w:pPr>
        <w:pStyle w:val="Choice"/>
        <w:keepNext/>
        <w:keepLines/>
        <w:ind w:left="187" w:hanging="187"/>
      </w:pPr>
      <w:r>
        <w:t>C.  Iūdicium Acadēmiae cōnstituit.</w:t>
      </w:r>
    </w:p>
    <w:p>
      <w:pPr>
        <w:pStyle w:val="Choice"/>
        <w:keepNext w:val="0"/>
        <w:keepLines/>
        <w:ind w:left="187" w:hanging="187"/>
      </w:pPr>
      <w:r>
        <w:t>D.  Catalogum imāginum ōrdinat.</w:t>
      </w:r>
    </w:p>
    <w:p>
      <w:pPr>
        <w:pStyle w:val="Heading2"/>
        <w:keepLines w:val="0"/>
      </w:pPr>
      <w:r>
        <w:t>Quaestiōnēs difficilēs</w:t>
      </w:r>
    </w:p>
    <w:p>
      <w:pPr>
        <w:pStyle w:val="Question"/>
        <w:keepNext/>
        <w:keepLines/>
      </w:pPr>
      <w:r>
        <w:t>11  Quid ex exemplō operis annī 2019 dē ratiōne scrībendī Carson colligī potest?</w:t>
      </w:r>
    </w:p>
    <w:p>
      <w:pPr>
        <w:pStyle w:val="Choice"/>
        <w:keepNext/>
        <w:keepLines/>
        <w:ind w:left="187" w:hanging="187"/>
      </w:pPr>
      <w:r>
        <w:t>A.  Fābulās antīquās eōdem modō quō antīquī poētae semper nārrat.</w:t>
      </w:r>
    </w:p>
    <w:p>
      <w:pPr>
        <w:pStyle w:val="Choice"/>
        <w:keepNext/>
        <w:keepLines/>
        <w:ind w:left="187" w:hanging="187"/>
      </w:pPr>
      <w:r>
        <w:t>B.  Persōnās recentiōrēs ab omnibus rēbus antīquīs sēparat.</w:t>
      </w:r>
    </w:p>
    <w:p>
      <w:pPr>
        <w:pStyle w:val="Choice"/>
        <w:keepNext/>
        <w:keepLines/>
        <w:ind w:left="187" w:hanging="187"/>
      </w:pPr>
      <w:r>
        <w:t>C.  Interpretātiōnem verbōrum Graecōrum sine novā māteriā tantum facit.</w:t>
      </w:r>
    </w:p>
    <w:p>
      <w:pPr>
        <w:pStyle w:val="Choice"/>
        <w:keepNext w:val="0"/>
        <w:keepLines/>
        <w:ind w:left="187" w:hanging="187"/>
      </w:pPr>
      <w:r>
        <w:t>D.  Māteriam antīquam cum persōnīs recentiōribus coniungere potest.</w:t>
      </w:r>
    </w:p>
    <w:p>
      <w:pPr>
        <w:pStyle w:val="Question"/>
        <w:keepNext/>
        <w:keepLines/>
      </w:pPr>
      <w:r>
        <w:t>12  Quōmodo laus ministrī cum dēscrīptiōne librōrum congruit?</w:t>
      </w:r>
    </w:p>
    <w:p>
      <w:pPr>
        <w:pStyle w:val="Choice"/>
        <w:keepNext/>
        <w:keepLines/>
        <w:ind w:left="187" w:hanging="187"/>
      </w:pPr>
      <w:r>
        <w:t>A.  Fābulae veterēs novīs lēctōribus per novās fōrmās aperiuntur.</w:t>
      </w:r>
    </w:p>
    <w:p>
      <w:pPr>
        <w:pStyle w:val="Choice"/>
        <w:keepNext/>
        <w:keepLines/>
        <w:ind w:left="187" w:hanging="187"/>
      </w:pPr>
      <w:r>
        <w:t>B.  Fābulae veterēs servantur ita ut nēmō eās legere possit.</w:t>
      </w:r>
    </w:p>
    <w:p>
      <w:pPr>
        <w:pStyle w:val="Choice"/>
        <w:keepNext/>
        <w:keepLines/>
        <w:ind w:left="187" w:hanging="187"/>
      </w:pPr>
      <w:r>
        <w:t>C.  Novīs lēctōribus tantum librī dē rēbus futūrīs dantur.</w:t>
      </w:r>
    </w:p>
    <w:p>
      <w:pPr>
        <w:pStyle w:val="Choice"/>
        <w:keepNext w:val="0"/>
        <w:keepLines/>
        <w:ind w:left="187" w:hanging="187"/>
      </w:pPr>
      <w:r>
        <w:t>D.  Librī semper ūnam fōrmam sine ūllā mūtātiōne servant.</w:t>
      </w:r>
    </w:p>
    <w:p>
      <w:pPr>
        <w:pStyle w:val="Question"/>
        <w:keepNext/>
        <w:keepLines/>
      </w:pPr>
      <w:r>
        <w:t>13  Quae sententia dē antīquīs et hodiernīs litterīs nūntiō convenit?</w:t>
      </w:r>
    </w:p>
    <w:p>
      <w:pPr>
        <w:pStyle w:val="Choice"/>
        <w:keepNext/>
        <w:keepLines/>
        <w:ind w:left="187" w:hanging="187"/>
      </w:pPr>
      <w:r>
        <w:t>A.  Antīquitās in litterīs hodiernīs locum habēre nōn potest.</w:t>
      </w:r>
    </w:p>
    <w:p>
      <w:pPr>
        <w:pStyle w:val="Choice"/>
        <w:keepNext/>
        <w:keepLines/>
        <w:ind w:left="187" w:hanging="187"/>
      </w:pPr>
      <w:r>
        <w:t>B.  Studium antīquitātis novae litterārum creātiōnī prōdesse potest.</w:t>
      </w:r>
    </w:p>
    <w:p>
      <w:pPr>
        <w:pStyle w:val="Choice"/>
        <w:keepNext/>
        <w:keepLines/>
        <w:ind w:left="187" w:hanging="187"/>
      </w:pPr>
      <w:r>
        <w:t>C.  Nova opera sine ūllā māteriā antīquā scrībenda sunt.</w:t>
      </w:r>
    </w:p>
    <w:p>
      <w:pPr>
        <w:pStyle w:val="Choice"/>
        <w:keepNext w:val="0"/>
        <w:keepLines/>
        <w:ind w:left="187" w:hanging="187"/>
      </w:pPr>
      <w:r>
        <w:t>D.  Interpretātiō omnem novam fōrmam scrībendī impedit.</w:t>
      </w:r>
    </w:p>
    <w:p>
      <w:pPr>
        <w:pStyle w:val="Question"/>
        <w:keepNext/>
        <w:keepLines/>
      </w:pPr>
      <w:r>
        <w:t>14  Cūr singulī librī ūtilēs sunt ad operam scrīptrīcis cognōscendam?</w:t>
      </w:r>
    </w:p>
    <w:p>
      <w:pPr>
        <w:pStyle w:val="Choice"/>
        <w:keepNext/>
        <w:keepLines/>
        <w:ind w:left="187" w:hanging="187"/>
      </w:pPr>
      <w:r>
        <w:t>A.  Quia praemium omnibus librīs eōdem modō datum est.</w:t>
      </w:r>
    </w:p>
    <w:p>
      <w:pPr>
        <w:pStyle w:val="Choice"/>
        <w:keepNext/>
        <w:keepLines/>
        <w:ind w:left="187" w:hanging="187"/>
      </w:pPr>
      <w:r>
        <w:t>B.  Quia librī nūllās inter sē differentiās habent.</w:t>
      </w:r>
    </w:p>
    <w:p>
      <w:pPr>
        <w:pStyle w:val="Choice"/>
        <w:keepNext/>
        <w:keepLines/>
        <w:ind w:left="187" w:hanging="187"/>
      </w:pPr>
      <w:r>
        <w:t>C.  Quia in eīs lēctor vidēre potest quōmodo variae artēs coniungantur.</w:t>
      </w:r>
    </w:p>
    <w:p>
      <w:pPr>
        <w:pStyle w:val="Choice"/>
        <w:keepNext w:val="0"/>
        <w:keepLines/>
        <w:ind w:left="187" w:hanging="187"/>
      </w:pPr>
      <w:r>
        <w:t>D.  Quia omnis laus ministrī in eīs ad verbum scrīpta est.</w:t>
      </w:r>
    </w:p>
    <w:p>
      <w:pPr>
        <w:pStyle w:val="Question"/>
        <w:keepNext/>
        <w:keepLines/>
      </w:pPr>
      <w:r>
        <w:t>15  Quae dēscrīptiō Carson tōtī nūntiō optimē convenit?</w:t>
      </w:r>
    </w:p>
    <w:p>
      <w:pPr>
        <w:pStyle w:val="Choice"/>
        <w:keepNext/>
        <w:keepLines/>
        <w:ind w:left="187" w:hanging="187"/>
      </w:pPr>
      <w:r>
        <w:t>A.  Scrīptrīx quae doctrīnam antīquam cum variīs fōrmīs novīs coniungit.</w:t>
      </w:r>
    </w:p>
    <w:p>
      <w:pPr>
        <w:pStyle w:val="Choice"/>
        <w:keepNext/>
        <w:keepLines/>
        <w:ind w:left="187" w:hanging="187"/>
      </w:pPr>
      <w:r>
        <w:t>B.  Scrīptrīx quae ūnum genus servat et interpretātiōnēs vītat.</w:t>
      </w:r>
    </w:p>
    <w:p>
      <w:pPr>
        <w:pStyle w:val="Choice"/>
        <w:keepNext/>
        <w:keepLines/>
        <w:ind w:left="187" w:hanging="187"/>
      </w:pPr>
      <w:r>
        <w:t>C.  Scrīptrīx quae tantum dē vītā ministrōrum scrībit.</w:t>
      </w:r>
    </w:p>
    <w:p>
      <w:pPr>
        <w:pStyle w:val="Choice"/>
        <w:keepNext w:val="0"/>
        <w:keepLines/>
        <w:ind w:left="187" w:hanging="187"/>
      </w:pPr>
      <w:r>
        <w:t>D.  Scrīptrīx quae antīquitātis studium ā librīs suīs sēparat.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12  /  Respōnsa rēcta  /  20 Octōbris 2026  /  Cum macrōnibus</w:t>
      </w:r>
    </w:p>
    <w:p>
      <w:pPr>
        <w:pStyle w:val="Title"/>
        <w:keepLines w:val="0"/>
      </w:pPr>
      <w:r>
        <w:t>Anne Carson praemiō Nobeliānō honōrātur</w:t>
      </w:r>
    </w:p>
    <w:p>
      <w:pPr>
        <w:pStyle w:val="Heading1"/>
        <w:keepLines w:val="0"/>
      </w:pPr>
      <w:r>
        <w:t>Ad magistrum</w:t>
      </w:r>
    </w:p>
    <w:p>
      <w:pPr>
        <w:pStyle w:val="Note"/>
        <w:keepLines w:val="0"/>
      </w:pPr>
      <w:r>
        <w:t>Haec pāgina respōnsa et explicātiōnēs continet. Discipulīs pāginās nūntiī et quaestiōnum distribue.</w:t>
      </w:r>
    </w:p>
    <w:p>
      <w:pPr>
        <w:pStyle w:val="Key"/>
        <w:keepLines/>
      </w:pPr>
      <w:r>
        <w:rPr>
          <w:b/>
        </w:rPr>
        <w:t>01  A.  Anne Carson.</w:t>
      </w:r>
      <w:r>
        <w:t xml:space="preserve">  Acadēmia Suecica praemium Anne Carson darī nūntiāvit.</w:t>
      </w:r>
    </w:p>
    <w:p>
      <w:pPr>
        <w:pStyle w:val="Key"/>
        <w:keepLines/>
      </w:pPr>
      <w:r>
        <w:rPr>
          <w:b/>
        </w:rPr>
        <w:t>02  B.  Holmiae.</w:t>
      </w:r>
      <w:r>
        <w:t xml:space="preserve">  Acadēmia Suecica Holmiae nūntium ēdidit.</w:t>
      </w:r>
    </w:p>
    <w:p>
      <w:pPr>
        <w:pStyle w:val="Key"/>
        <w:keepLines/>
      </w:pPr>
      <w:r>
        <w:rPr>
          <w:b/>
        </w:rPr>
        <w:t>03  C.  Graecās et Rōmānās.</w:t>
      </w:r>
      <w:r>
        <w:t xml:space="preserve">  Scrīptrīx litterās Graecās et Rōmānās diū docuit.</w:t>
      </w:r>
    </w:p>
    <w:p>
      <w:pPr>
        <w:pStyle w:val="Key"/>
        <w:keepLines/>
      </w:pPr>
      <w:r>
        <w:rPr>
          <w:b/>
        </w:rPr>
        <w:t>04  D.  In Anglicam.</w:t>
      </w:r>
      <w:r>
        <w:t xml:space="preserve">  Carson opera poētārum Graecōrum in Anglicum vertit.</w:t>
      </w:r>
    </w:p>
    <w:p>
      <w:pPr>
        <w:pStyle w:val="Key"/>
        <w:keepLines/>
      </w:pPr>
      <w:r>
        <w:rPr>
          <w:b/>
        </w:rPr>
        <w:t>05  B.  Prīmus minister Canadēnsis.</w:t>
      </w:r>
      <w:r>
        <w:t xml:space="preserve">  Mark Carney, prīmus minister Canadēnsis, scrīptrīcī grātulātus est.</w:t>
      </w:r>
    </w:p>
    <w:p>
      <w:pPr>
        <w:pStyle w:val="Key"/>
        <w:keepLines/>
      </w:pPr>
      <w:r>
        <w:rPr>
          <w:b/>
        </w:rPr>
        <w:t>06  C.  Quia carmina, solūta ōrātiō et dialogī miscentur.</w:t>
      </w:r>
      <w:r>
        <w:t xml:space="preserve">  In librīs Carson variae scrībendī fōrmae saepe miscentur.</w:t>
      </w:r>
    </w:p>
    <w:p>
      <w:pPr>
        <w:pStyle w:val="Key"/>
        <w:keepLines/>
      </w:pPr>
      <w:r>
        <w:rPr>
          <w:b/>
        </w:rPr>
        <w:t>07  A.  Studium antīquitātis et variās scrībendī ratiōnēs.</w:t>
      </w:r>
      <w:r>
        <w:t xml:space="preserve">  Acadēmia et studium antīquitātis et varietātem scrībendī commemorāvit.</w:t>
      </w:r>
    </w:p>
    <w:p>
      <w:pPr>
        <w:pStyle w:val="Key"/>
        <w:keepLines/>
      </w:pPr>
      <w:r>
        <w:rPr>
          <w:b/>
        </w:rPr>
        <w:t>08  D.  Helena Troiāna et Marilyn Monroe.</w:t>
      </w:r>
      <w:r>
        <w:t xml:space="preserve">  Nūntius rēs Helenae Troiānae et Marilyn Monroe in hōc opere coniungī dīcit.</w:t>
      </w:r>
    </w:p>
    <w:p>
      <w:pPr>
        <w:pStyle w:val="Key"/>
        <w:keepLines/>
      </w:pPr>
      <w:r>
        <w:rPr>
          <w:b/>
        </w:rPr>
        <w:t>09  C.  Ad ūniversam scrīptrīcis operam.</w:t>
      </w:r>
      <w:r>
        <w:t xml:space="preserve">  Praemium ūniversam scrīptrīcis operam honōrat.</w:t>
      </w:r>
    </w:p>
    <w:p>
      <w:pPr>
        <w:pStyle w:val="Key"/>
        <w:keepLines/>
      </w:pPr>
      <w:r>
        <w:rPr>
          <w:b/>
        </w:rPr>
        <w:t>10  B.  Scrīpta ex ūnā linguā in aliam vertit.</w:t>
      </w:r>
      <w:r>
        <w:t xml:space="preserve">  Carson interpres est quia opera Graeca in Anglicum vertit.</w:t>
      </w:r>
    </w:p>
    <w:p>
      <w:pPr>
        <w:pStyle w:val="Key"/>
        <w:keepLines/>
      </w:pPr>
      <w:r>
        <w:rPr>
          <w:b/>
        </w:rPr>
        <w:t>11  D.  Māteriam antīquam cum persōnīs recentiōribus coniungere potest.</w:t>
      </w:r>
      <w:r>
        <w:t xml:space="preserve">  Coniūnctiō Helenae et Marilyn Monroe māteriam antīquam cum recentiōre coniungit.</w:t>
      </w:r>
    </w:p>
    <w:p>
      <w:pPr>
        <w:pStyle w:val="Key"/>
        <w:keepLines/>
      </w:pPr>
      <w:r>
        <w:rPr>
          <w:b/>
        </w:rPr>
        <w:t>12  A.  Fābulae veterēs novīs lēctōribus per novās fōrmās aperiuntur.</w:t>
      </w:r>
      <w:r>
        <w:t xml:space="preserve">  Minister novās ad veterēs fābulās viās laudat; librī māteriam antīquam variīs fōrmīs tractant.</w:t>
      </w:r>
    </w:p>
    <w:p>
      <w:pPr>
        <w:pStyle w:val="Key"/>
        <w:keepLines/>
      </w:pPr>
      <w:r>
        <w:rPr>
          <w:b/>
        </w:rPr>
        <w:t>13  B.  Studium antīquitātis novae litterārum creātiōnī prōdesse potest.</w:t>
      </w:r>
      <w:r>
        <w:t xml:space="preserve">  Carson māteriam antīquam adhibet et novās scrībendī fōrmās invenit.</w:t>
      </w:r>
    </w:p>
    <w:p>
      <w:pPr>
        <w:pStyle w:val="Key"/>
        <w:keepLines/>
      </w:pPr>
      <w:r>
        <w:rPr>
          <w:b/>
        </w:rPr>
        <w:t>14  C.  Quia in eīs lēctor vidēre potest quōmodo variae artēs coniungantur.</w:t>
      </w:r>
      <w:r>
        <w:t xml:space="preserve">  Nūntius lēctōrēs per librōs cognōscere posse dīcit quōmodo poētria et interpres et inventrīx sit.</w:t>
      </w:r>
    </w:p>
    <w:p>
      <w:pPr>
        <w:pStyle w:val="Key"/>
        <w:keepLines/>
      </w:pPr>
      <w:r>
        <w:rPr>
          <w:b/>
        </w:rPr>
        <w:t>15  A.  Scrīptrīx quae doctrīnam antīquam cum variīs fōrmīs novīs coniungit.</w:t>
      </w:r>
      <w:r>
        <w:t xml:space="preserve">  Nūntius doctrīnam, interpretātiōnēs et novās fōrmās scrībendī inter sē coniungit.</w:t>
      </w:r>
    </w:p>
    <w:sectPr w:rsidR="00FC693F" w:rsidRPr="0006063C" w:rsidSect="00034616">
      <w:pgSz w:w="12240" w:h="15840"/>
      <w:pgMar w:top="1037" w:right="893" w:bottom="792" w:left="893" w:header="360" w:footer="346" w:gutter="0"/>
      <w:cols w:space="300" w:num="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10454" w:val="right"/>
      </w:tabs>
    </w:pPr>
    <w:r>
      <w:rPr>
        <w:rFonts w:ascii="Calibri" w:hAnsi="Calibri"/>
        <w:sz w:val="16"/>
      </w:rPr>
      <w:t>munduslatinus.com</w:t>
      <w:tab/>
      <w:t xml:space="preserve">Pāgina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tabs>
        <w:tab w:pos="10454" w:val="right"/>
      </w:tabs>
      <w:spacing w:after="100"/>
      <w:pBdr>
        <w:bottom w:val="single" w:sz="4" w:color="777777"/>
      </w:pBdr>
    </w:pPr>
    <w:r>
      <w:rPr>
        <w:rFonts w:ascii="Times New Roman" w:hAnsi="Times New Roman"/>
        <w:b/>
        <w:sz w:val="36"/>
      </w:rPr>
      <w:t>Mundus Latīnus</w:t>
    </w:r>
    <w:r>
      <w:rPr>
        <w:rFonts w:ascii="Calibri" w:hAnsi="Calibri"/>
        <w:sz w:val="16"/>
      </w:rPr>
      <w:tab/>
      <w:t>AD ŪSUM SCHOLĀRUM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autoHyphenation w: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72" w:before="0" w:line="250" w:lineRule="exact"/>
    </w:pPr>
    <w:rPr>
      <w:rFonts w:ascii="Times New Roman" w:hAnsi="Times New Roman"/>
      <w:b w:val="0"/>
      <w:color w:val="000000"/>
      <w:sz w:val="22"/>
      <w:lang w:val="la"/>
    </w:rPr>
  </w:style>
  <w:style w:type="paragraph" w:styleId="Header">
    <w:name w:val="header"/>
    <w:basedOn w:val="Normal"/>
    <w:link w:val="HeaderChar"/>
    <w:uiPriority w:val="99"/>
    <w:unhideWhenUsed/>
    <w:rsid w:val="00E618BF"/>
    <w:pPr>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widowControl/>
      <w:spacing w:before="100" w:after="80" w:line="280" w:lineRule="exact"/>
      <w:outlineLvl w:val="0"/>
    </w:pPr>
    <w:rPr>
      <w:rFonts w:ascii="Times New Roman" w:hAnsi="Times New Roman"/>
      <w:b/>
      <w:bCs/>
      <w:color w:val="000000"/>
      <w:sz w:val="24"/>
      <w:szCs w:val="28"/>
    </w:rPr>
  </w:style>
  <w:style w:type="paragraph" w:styleId="Heading2">
    <w:name w:val="heading 2"/>
    <w:basedOn w:val="Normal"/>
    <w:next w:val="Normal"/>
    <w:link w:val="Heading2Char"/>
    <w:uiPriority w:val="9"/>
    <w:unhideWhenUsed/>
    <w:qFormat/>
    <w:rsid w:val="00FC693F"/>
    <w:pPr>
      <w:keepNext/>
      <w:keepLines/>
      <w:widowControl/>
      <w:spacing w:before="100" w:after="60" w:line="240" w:lineRule="exact"/>
      <w:outlineLvl w:val="1"/>
    </w:pPr>
    <w:rPr>
      <w:rFonts w:ascii="Times New Roman" w:hAnsi="Times New Roman"/>
      <w:b/>
      <w:bCs/>
      <w:color w:val="000000"/>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widowControl/>
      <w:spacing w:after="120" w:line="370" w:lineRule="exact" w:before="0"/>
      <w:contextualSpacing/>
    </w:pPr>
    <w:rPr>
      <w:rFonts w:ascii="Times New Roman" w:hAnsi="Times New Roman"/>
      <w:b/>
      <w:color w:val="000000"/>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eta">
    <w:name w:val="Meta"/>
    <w:pPr>
      <w:widowControl/>
      <w:spacing w:after="100" w:before="0" w:line="200" w:lineRule="exact"/>
    </w:pPr>
    <w:rPr>
      <w:rFonts w:ascii="Calibri" w:hAnsi="Calibri"/>
      <w:b w:val="0"/>
      <w:color w:val="000000"/>
      <w:sz w:val="17"/>
    </w:rPr>
  </w:style>
  <w:style w:type="paragraph" w:customStyle="1" w:styleId="Deck">
    <w:name w:val="Deck"/>
    <w:pPr>
      <w:widowControl/>
      <w:spacing w:after="120" w:before="0" w:line="240" w:lineRule="exact"/>
    </w:pPr>
    <w:rPr>
      <w:rFonts w:ascii="Times New Roman" w:hAnsi="Times New Roman"/>
      <w:b w:val="0"/>
      <w:color w:val="000000"/>
      <w:sz w:val="21"/>
    </w:rPr>
  </w:style>
  <w:style w:type="paragraph" w:customStyle="1" w:styleId="Note">
    <w:name w:val="Note"/>
    <w:pPr>
      <w:widowControl/>
      <w:spacing w:after="60" w:before="0" w:line="228" w:lineRule="exact"/>
    </w:pPr>
    <w:rPr>
      <w:rFonts w:ascii="Times New Roman" w:hAnsi="Times New Roman"/>
      <w:b w:val="0"/>
      <w:color w:val="000000"/>
      <w:sz w:val="20"/>
    </w:rPr>
  </w:style>
  <w:style w:type="paragraph" w:customStyle="1" w:styleId="Gloss">
    <w:name w:val="Gloss"/>
    <w:pPr>
      <w:widowControl/>
      <w:spacing w:after="80" w:before="0" w:line="230" w:lineRule="exact"/>
    </w:pPr>
    <w:rPr>
      <w:rFonts w:ascii="Times New Roman" w:hAnsi="Times New Roman"/>
      <w:b w:val="0"/>
      <w:color w:val="000000"/>
      <w:sz w:val="20"/>
    </w:rPr>
  </w:style>
  <w:style w:type="paragraph" w:customStyle="1" w:styleId="Question">
    <w:name w:val="Question"/>
    <w:pPr>
      <w:widowControl/>
      <w:spacing w:after="30" w:before="60" w:line="226" w:lineRule="exact"/>
    </w:pPr>
    <w:rPr>
      <w:rFonts w:ascii="Times New Roman" w:hAnsi="Times New Roman"/>
      <w:b/>
      <w:color w:val="000000"/>
      <w:sz w:val="21"/>
    </w:rPr>
  </w:style>
  <w:style w:type="paragraph" w:customStyle="1" w:styleId="Choice">
    <w:name w:val="Choice"/>
    <w:pPr>
      <w:widowControl/>
      <w:spacing w:after="0" w:before="0" w:line="224" w:lineRule="exact"/>
    </w:pPr>
    <w:rPr>
      <w:rFonts w:ascii="Times New Roman" w:hAnsi="Times New Roman"/>
      <w:b w:val="0"/>
      <w:color w:val="000000"/>
      <w:sz w:val="21"/>
    </w:rPr>
  </w:style>
  <w:style w:type="paragraph" w:customStyle="1" w:styleId="Key">
    <w:name w:val="Key"/>
    <w:pPr>
      <w:widowControl/>
      <w:spacing w:after="140" w:before="0" w:line="240" w:lineRule="exact"/>
    </w:pPr>
    <w:rPr>
      <w:rFonts w:ascii="Times New Roman" w:hAnsi="Times New Roman"/>
      <w:b w:val="0"/>
      <w:color w:val="000000"/>
      <w:sz w:val="21"/>
    </w:rPr>
  </w:style>
  <w:style w:type="paragraph" w:customStyle="1" w:styleId="Compact">
    <w:name w:val="Compact"/>
    <w:pPr>
      <w:widowControl/>
      <w:spacing w:after="80" w:before="0" w:line="220" w:lineRule="exact"/>
    </w:pPr>
    <w:rPr>
      <w:rFonts w:ascii="Times New Roman" w:hAnsi="Times New Roman"/>
      <w:b w:val="0"/>
      <w:color w:val="000000"/>
      <w:sz w:val="19"/>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 Carson praemiō Nobeliānō honōrātur</dc:title>
  <dc:subject>Nūntiī et quaestiōnēs ad ūsum scholārum</dc:subject>
  <dc:creator>Mundus Latinus</dc:creator>
  <cp:keywords>Latin; classroom; macrons</cp:keywords>
  <dc:description/>
  <cp:lastModifiedBy>Mundus Latinus</cp:lastModifiedBy>
  <cp:revision>1</cp:revision>
  <dcterms:created xsi:type="dcterms:W3CDTF">2026-10-21T12:00:00Z</dcterms:created>
  <dcterms:modified xsi:type="dcterms:W3CDTF">2013-12-23T23:15:00Z</dcterms:modified>
  <cp:category/>
</cp:coreProperties>
</file>